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ind w:left="6096" w:right="142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648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к распоряжению Правительства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Московской области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left="5812"/>
        <w:keepNext/>
        <w:spacing w:after="0" w:line="240" w:lineRule="auto"/>
        <w:shd w:val="clear" w:color="auto" w:fill="ffffff"/>
        <w:widowControl w:val="off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от _____________№__________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142"/>
        <w:jc w:val="right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Проект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-2"/>
        <w:jc w:val="center"/>
        <w:spacing w:after="0" w:line="240" w:lineRule="auto"/>
        <w:rPr>
          <w:rFonts w:ascii="Times New Roman" w:hAnsi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eastAsia="Times New Roman"/>
          <w:b/>
          <w:sz w:val="32"/>
          <w:szCs w:val="32"/>
          <w:lang w:eastAsia="ru-RU"/>
        </w:rPr>
        <w:t xml:space="preserve">ЗАКОН МОСКОВСКОЙ ОБЛАСТИ</w:t>
      </w:r>
      <w:r>
        <w:rPr>
          <w:rFonts w:ascii="Times New Roman" w:hAnsi="Times New Roman" w:eastAsia="Times New Roman"/>
          <w:b/>
          <w:sz w:val="32"/>
          <w:szCs w:val="32"/>
          <w:lang w:eastAsia="ru-RU"/>
        </w:rPr>
      </w:r>
    </w:p>
    <w:p>
      <w:pPr>
        <w:pStyle w:val="648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right="1255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left="1418" w:right="1418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Московской области «О бюджете Территориального фонда обязательного медицинского страхования Московской области </w:t>
      </w:r>
      <w:r>
        <w:rPr>
          <w:rFonts w:ascii="Times New Roman" w:hAnsi="Times New Roman"/>
          <w:b/>
          <w:bCs/>
          <w:sz w:val="28"/>
          <w:szCs w:val="28"/>
        </w:rPr>
        <w:br w:type="textWrapping" w:clear="all"/>
      </w:r>
      <w:r>
        <w:rPr>
          <w:rFonts w:ascii="Times New Roman" w:hAnsi="Times New Roman"/>
          <w:b/>
          <w:bCs/>
          <w:sz w:val="28"/>
          <w:szCs w:val="28"/>
        </w:rPr>
        <w:t xml:space="preserve">на 202</w:t>
      </w:r>
      <w:r>
        <w:rPr>
          <w:rFonts w:ascii="Times New Roman" w:hAnsi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/>
          <w:b/>
          <w:bCs/>
          <w:sz w:val="28"/>
          <w:szCs w:val="28"/>
        </w:rPr>
        <w:t xml:space="preserve"> и 20</w:t>
      </w:r>
      <w:r>
        <w:rPr>
          <w:rFonts w:ascii="Times New Roman" w:hAnsi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/>
          <w:b/>
          <w:bCs/>
          <w:sz w:val="28"/>
          <w:szCs w:val="28"/>
        </w:rPr>
        <w:t xml:space="preserve">7</w:t>
      </w:r>
      <w:r>
        <w:rPr>
          <w:rFonts w:ascii="Times New Roman" w:hAnsi="Times New Roman"/>
          <w:b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48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648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648"/>
        <w:ind w:left="1418" w:right="1416"/>
        <w:jc w:val="both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  <w:r>
        <w:rPr>
          <w:rFonts w:ascii="Times New Roman" w:hAnsi="Times New Roman"/>
          <w:bCs/>
          <w:sz w:val="28"/>
          <w:szCs w:val="28"/>
        </w:rPr>
      </w:r>
    </w:p>
    <w:p>
      <w:pPr>
        <w:pStyle w:val="648"/>
        <w:ind w:right="-91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1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48"/>
        <w:ind w:right="-91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Закон Московской области № 2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5/202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-ОЗ «О бюджете Территориального фонда обязательного медицинского страхования Московской области на 202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годов» </w:t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(с </w:t>
      </w:r>
      <w:r>
        <w:rPr>
          <w:rFonts w:ascii="Times New Roman" w:hAnsi="Times New Roman"/>
          <w:sz w:val="28"/>
          <w:szCs w:val="28"/>
          <w:lang w:eastAsia="ru-RU"/>
        </w:rPr>
        <w:t xml:space="preserve">изменениями, внесенными Законом Московской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 xml:space="preserve">80</w:t>
      </w:r>
      <w:r>
        <w:rPr>
          <w:rFonts w:ascii="Times New Roman" w:hAnsi="Times New Roman"/>
          <w:sz w:val="28"/>
          <w:szCs w:val="28"/>
          <w:lang w:eastAsia="ru-RU"/>
        </w:rPr>
        <w:t xml:space="preserve">/202</w:t>
      </w:r>
      <w:r>
        <w:rPr>
          <w:rFonts w:ascii="Times New Roman" w:hAnsi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/>
          <w:sz w:val="28"/>
          <w:szCs w:val="28"/>
          <w:lang w:eastAsia="ru-RU"/>
        </w:rPr>
        <w:t xml:space="preserve">-ОЗ</w:t>
      </w:r>
      <w:r>
        <w:rPr>
          <w:rFonts w:ascii="Times New Roman" w:hAnsi="Times New Roman"/>
          <w:sz w:val="28"/>
          <w:szCs w:val="28"/>
          <w:lang w:eastAsia="ru-RU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следующие изменения: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</w:r>
      <w:r>
        <w:rPr>
          <w:rFonts w:ascii="Times New Roman" w:hAnsi="Times New Roman"/>
          <w:sz w:val="28"/>
          <w:szCs w:val="28"/>
          <w:highlight w:val="yellow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стать</w:t>
      </w:r>
      <w:r>
        <w:rPr>
          <w:rFonts w:ascii="Times New Roman" w:hAnsi="Times New Roman"/>
          <w:sz w:val="28"/>
          <w:szCs w:val="28"/>
        </w:rPr>
        <w:t xml:space="preserve">ю</w:t>
      </w:r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 xml:space="preserve"> изложить </w:t>
      </w:r>
      <w:r>
        <w:rPr>
          <w:rFonts w:ascii="Times New Roman" w:hAnsi="Times New Roman"/>
          <w:sz w:val="28"/>
          <w:szCs w:val="28"/>
        </w:rPr>
        <w:t xml:space="preserve">в следующей редакции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pStyle w:val="667"/>
        <w:ind w:firstLine="709"/>
        <w:jc w:val="both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Статья 1. Основные характеристики бюджета Территориального фонда обязательного медицинского страхования Московской области на 2025 год и на плановый период 2026 и 2027 годов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63"/>
        <w:ind w:firstLine="709"/>
        <w:jc w:val="both"/>
      </w:pPr>
      <w:r/>
      <w:r/>
    </w:p>
    <w:p>
      <w:pPr>
        <w:pStyle w:val="663"/>
        <w:ind w:firstLine="709"/>
        <w:jc w:val="both"/>
      </w:pPr>
      <w:r>
        <w:t xml:space="preserve">1. Утвердить основные характеристики бюджета Территориального фонда обязательного медицинского страхования Московской области </w:t>
        <w:br w:type="textWrapping" w:clear="all"/>
        <w:t xml:space="preserve">(далее − Фонд) на 2025 год:</w:t>
      </w:r>
      <w:r/>
    </w:p>
    <w:p>
      <w:pPr>
        <w:pStyle w:val="663"/>
        <w:ind w:firstLine="709"/>
        <w:jc w:val="both"/>
      </w:pPr>
      <w:r>
        <w:t xml:space="preserve">1) прогнозируемый общий объем доходов бюджета Фонда в сумме </w:t>
      </w:r>
      <w:r>
        <w:t xml:space="preserve">200 744 289,1</w:t>
      </w:r>
      <w:r>
        <w:t xml:space="preserve"> тыс. рублей, в том числе за счет межбюджетных трансфертов, получаемых из бюджета Федерального фонда обязательного медицинского страхования в сумме 179 944 129,9 тыс. рублей, бюджета Московской области </w:t>
        <w:br w:type="textWrapping" w:clear="all"/>
        <w:t xml:space="preserve">в сумме </w:t>
      </w:r>
      <w:r>
        <w:t xml:space="preserve">6 831 414,0</w:t>
      </w:r>
      <w:r>
        <w:t xml:space="preserve"> тыс. рублей, бюджетов территориальных фондов обязательного медицинского страхования субъектов Российской Федерации в сумме 13 268 436,4 тыс. рублей;</w:t>
      </w:r>
      <w:r/>
    </w:p>
    <w:p>
      <w:pPr>
        <w:pStyle w:val="663"/>
        <w:ind w:firstLine="709"/>
        <w:jc w:val="both"/>
      </w:pPr>
      <w:r>
        <w:t xml:space="preserve">2) общий объем расходов бюджета Фонда в сумме </w:t>
      </w:r>
      <w:r>
        <w:t xml:space="preserve">201 866 666,0</w:t>
      </w:r>
      <w:r>
        <w:t xml:space="preserve"> тыс. рублей;</w:t>
      </w:r>
      <w:r/>
    </w:p>
    <w:p>
      <w:pPr>
        <w:pStyle w:val="663"/>
        <w:ind w:firstLine="709"/>
        <w:jc w:val="both"/>
      </w:pPr>
      <w:r>
        <w:t xml:space="preserve">3) объем дефицита бюджета Фонда в сумме 1 122 376,9 тыс. рублей.</w:t>
      </w:r>
      <w:r/>
    </w:p>
    <w:p>
      <w:pPr>
        <w:pStyle w:val="663"/>
        <w:ind w:firstLine="709"/>
        <w:jc w:val="both"/>
      </w:pPr>
      <w:r>
        <w:t xml:space="preserve">2. Утвердить основные характеристики бюджета Фонда на плановый период 2026 и 2027 годов:</w:t>
      </w:r>
      <w:r/>
    </w:p>
    <w:p>
      <w:pPr>
        <w:pStyle w:val="663"/>
        <w:ind w:firstLine="709"/>
        <w:jc w:val="both"/>
      </w:pPr>
      <w:r>
        <w:t xml:space="preserve">1) прогнозируемый общий объем доходов бюджета Фонда на 2026 год в сумме 214 825 658,0 тыс. рублей, в том числе за счет межбюджетных трансфертов, получаемых из бюджета Федерального фонда обязательного</w:t>
      </w:r>
      <w:r>
        <w:t xml:space="preserve"> медицинского страхования в сумме 193 898 304,0 тыс. рублей, бюджета Московской области в сумме 6 399 859,0 тыс. рублей, бюджетов территориальных фондов обязательного медицинского страхования субъектов Российской Федерации в сумме 13 799 173,8 тыс. рублей,</w:t>
      </w:r>
      <w:r>
        <w:rPr>
          <w:color w:val="ff0000"/>
        </w:rPr>
        <w:t xml:space="preserve"> </w:t>
      </w:r>
      <w:r>
        <w:t xml:space="preserve">и на 2027 год в сумме 228 795 895,0 тыс. рублей, в том числе за счет межбюджетных трансфертов, получаемых из бюджета Федерального фонда обязательного</w:t>
      </w:r>
      <w:r>
        <w:t xml:space="preserve"> медицинского страхования в сумме 207 158 808,2 тыс. рублей, бюджета Московской области в сумме 6 528 492,0 тыс. рублей, бюджетов территориальных фондов обязательного медицинского страхования субъектов Российской Федерации в сумме 14 351 140,8 тыс. рублей;</w:t>
      </w:r>
      <w:r/>
    </w:p>
    <w:p>
      <w:pPr>
        <w:pStyle w:val="663"/>
        <w:ind w:firstLine="709"/>
        <w:jc w:val="both"/>
      </w:pPr>
      <w:r>
        <w:t xml:space="preserve">2) общий объем расходов бюджета Фонда на 2026 год в сумме 214 825 658,0 тыс. рублей и на 2027 год в сумме 228 795 895,0 тыс. рублей.»</w:t>
      </w:r>
      <w:r>
        <w:t xml:space="preserve">;</w:t>
      </w:r>
      <w:r/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част</w:t>
      </w:r>
      <w:r>
        <w:rPr>
          <w:rFonts w:ascii="Times New Roman" w:hAnsi="Times New Roman"/>
          <w:sz w:val="28"/>
          <w:szCs w:val="28"/>
        </w:rPr>
        <w:t xml:space="preserve">ь</w:t>
      </w:r>
      <w:r>
        <w:rPr>
          <w:rFonts w:ascii="Times New Roman" w:hAnsi="Times New Roman"/>
          <w:sz w:val="28"/>
          <w:szCs w:val="28"/>
        </w:rPr>
        <w:t xml:space="preserve"> 2 статьи 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изложить</w:t>
      </w:r>
      <w:r>
        <w:rPr>
          <w:rFonts w:ascii="Times New Roman" w:hAnsi="Times New Roman"/>
          <w:sz w:val="28"/>
          <w:szCs w:val="28"/>
        </w:rPr>
        <w:t xml:space="preserve">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63"/>
        <w:ind w:firstLine="709"/>
        <w:jc w:val="both"/>
      </w:pPr>
      <w:r>
        <w:t xml:space="preserve">«2. Установить, что межбюджетные трансферты из бюджета Московской области в 2025 году предусматриваются в сумме </w:t>
      </w:r>
      <w:r>
        <w:t xml:space="preserve">6 831 414,0</w:t>
      </w:r>
      <w:r>
        <w:t xml:space="preserve"> тыс. рублей, из них:</w:t>
      </w:r>
      <w:r/>
    </w:p>
    <w:p>
      <w:pPr>
        <w:pStyle w:val="663"/>
        <w:ind w:firstLine="709"/>
        <w:jc w:val="both"/>
      </w:pPr>
      <w:r>
        <w:t xml:space="preserve">1) по мероприятиям, не включенным в Московскую областную программу обязательного медицинского страхования, в сумме </w:t>
        <w:br w:type="textWrapping" w:clear="all"/>
        <w:t xml:space="preserve">2 461 656,0 тыс. рублей на финансовое обеспечение медицинской помощи </w:t>
        <w:br w:type="textWrapping" w:clear="all"/>
        <w:t xml:space="preserve">в экстренной форме в амбулаторных и стаци</w:t>
      </w:r>
      <w:r>
        <w:t xml:space="preserve">онарных условиях и скорой медицинской помощи гражданам, не идентифицированным </w:t>
        <w:br/>
        <w:t xml:space="preserve">и не застрахованным по обязательному медицинскому страхованию в рамках Московской областной программы государственных гарантий бесплатного оказания гражданам медицинской помощи;</w:t>
      </w:r>
      <w:r/>
    </w:p>
    <w:p>
      <w:pPr>
        <w:pStyle w:val="663"/>
        <w:ind w:firstLine="709"/>
        <w:jc w:val="both"/>
      </w:pPr>
      <w:r>
        <w:t xml:space="preserve">2) </w:t>
      </w:r>
      <w:r>
        <w:t xml:space="preserve">на ф</w:t>
      </w:r>
      <w:r>
        <w:t xml:space="preserve">инансовое обеспечение </w:t>
      </w:r>
      <w:r>
        <w:t xml:space="preserve">дополнительных видов и условий оказания медицинской помощи, предоставляемых в дополнение к установленным базовой программой обязательного медицинского страхования</w:t>
      </w:r>
      <w:r/>
      <w:r>
        <w:t xml:space="preserve">, в сумме 1 819 834,0 тыс. рублей</w:t>
      </w:r>
      <w:r>
        <w:t xml:space="preserve">;</w:t>
      </w:r>
      <w:r/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финансовое обеспечение административно-управленческой деятельности Фонда при реализации полномочий по финансовому обеспечению мероприятий, предусмотренных пункт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ами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 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части 2 настоящей статьи,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13 331,0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на дополнительное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 </w:t>
        <w:br w:type="textWrapping" w:clear="all"/>
        <w:t xml:space="preserve">в </w:t>
      </w:r>
      <w:r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536</w:t>
      </w:r>
      <w:r>
        <w:rPr>
          <w:rFonts w:ascii="Times New Roman" w:hAnsi="Times New Roman"/>
          <w:sz w:val="28"/>
          <w:szCs w:val="28"/>
        </w:rPr>
        <w:t xml:space="preserve"> 593,0</w:t>
      </w:r>
      <w:r>
        <w:rPr>
          <w:rFonts w:ascii="Times New Roman" w:hAnsi="Times New Roman"/>
          <w:sz w:val="28"/>
          <w:szCs w:val="28"/>
        </w:rPr>
        <w:t xml:space="preserve"> тыс. рублей.»;</w:t>
      </w:r>
      <w:r>
        <w:rPr>
          <w:rFonts w:ascii="Times New Roman" w:hAnsi="Times New Roman"/>
          <w:sz w:val="28"/>
          <w:szCs w:val="28"/>
        </w:rPr>
      </w:r>
    </w:p>
    <w:p>
      <w:pPr>
        <w:pStyle w:val="663"/>
        <w:ind w:firstLine="709"/>
        <w:jc w:val="both"/>
      </w:pPr>
      <w:r>
        <w:t xml:space="preserve">3</w:t>
      </w:r>
      <w:r>
        <w:t xml:space="preserve">) </w:t>
      </w:r>
      <w:r>
        <w:rPr>
          <w:rFonts w:eastAsia="Calibri"/>
        </w:rPr>
        <w:t xml:space="preserve">в части 4 статьи 5 цифры «</w:t>
      </w:r>
      <w:r>
        <w:rPr>
          <w:color w:val="000000"/>
        </w:rPr>
        <w:t xml:space="preserve">45</w:t>
      </w:r>
      <w:r>
        <w:rPr>
          <w:color w:val="000000"/>
        </w:rPr>
        <w:t xml:space="preserve"> </w:t>
      </w:r>
      <w:r>
        <w:rPr>
          <w:color w:val="000000"/>
        </w:rPr>
        <w:t xml:space="preserve">042</w:t>
      </w:r>
      <w:r>
        <w:rPr>
          <w:color w:val="000000"/>
        </w:rPr>
        <w:t xml:space="preserve"> </w:t>
      </w:r>
      <w:r>
        <w:rPr>
          <w:color w:val="000000"/>
        </w:rPr>
        <w:t xml:space="preserve">646,2</w:t>
      </w:r>
      <w:r>
        <w:t xml:space="preserve">» заменить цифрами </w:t>
        <w:br w:type="textWrapping" w:clear="all"/>
        <w:t xml:space="preserve">«</w:t>
      </w:r>
      <w:r>
        <w:rPr>
          <w:color w:val="000000"/>
        </w:rPr>
        <w:t xml:space="preserve">46 103 723,0</w:t>
      </w:r>
      <w:r>
        <w:t xml:space="preserve">»;</w:t>
      </w:r>
      <w:r/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/>
          <w:sz w:val="28"/>
          <w:szCs w:val="28"/>
          <w:lang w:eastAsia="ru-RU"/>
        </w:rPr>
        <w:instrText xml:space="preserve"> HYPERLINK "consultantplus://offline/ref=328F5D8B6ABBBFF60CE7062F2188FF672E2456FDA10F8E6B5B2939B8F823948189EDDF85E57BE8AF2B0F73BC86EE81348060637596CEF622N6v6H" </w:instrTex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статью 6</w:t>
      </w:r>
      <w:r>
        <w:rPr>
          <w:rFonts w:ascii="Times New Roman" w:hAnsi="Times New Roman" w:eastAsia="Times New Roman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дополнить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частью 7 следующего содержания: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7. Установить, что остатки межбюджетных трансфертов из бюджета Московской области в сумме 1 048 400,5 тыс. рублей, неиспользованные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по состоянию на 1 января 2025 года, направляются в 2025 году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на дополнител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ьное финансовое обеспечение реализации Московской областной программы обязательного медицинского страхования в части базовой программы обязательного медицинского страхования для финансового обеспечения неисполненных бюджетных обязательств Фонда, возникших </w:t>
      </w:r>
      <w:r>
        <w:rPr>
          <w:rFonts w:ascii="Times New Roman" w:hAnsi="Times New Roman" w:eastAsia="Times New Roman"/>
          <w:sz w:val="28"/>
          <w:szCs w:val="28"/>
          <w:lang w:eastAsia="ru-RU"/>
        </w:rPr>
        <w:br w:type="textWrapping" w:clear="all"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 отчетном году и предъявленных к исполнению в текущем году.»;</w:t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) приложение 1 изложить в редакции согласно приложению 1 к настоящему Закону;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приложение 2 изложить в редакции согласно приложению 2 к настоящему Закону;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приложение 3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3</w:t>
      </w:r>
      <w:r>
        <w:rPr>
          <w:rFonts w:ascii="Times New Roman" w:hAnsi="Times New Roman"/>
          <w:sz w:val="28"/>
          <w:szCs w:val="28"/>
        </w:rPr>
        <w:t xml:space="preserve"> к настоящему Закону;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</w:t>
      </w:r>
      <w:r>
        <w:rPr>
          <w:rFonts w:ascii="Times New Roman" w:hAnsi="Times New Roman"/>
          <w:sz w:val="28"/>
          <w:szCs w:val="28"/>
        </w:rPr>
        <w:t xml:space="preserve">) приложение 4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br w:type="textWrapping" w:clear="all"/>
        <w:t xml:space="preserve">к настоящему Закону;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) приложение 5 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br w:type="textWrapping" w:clear="all"/>
        <w:t xml:space="preserve">к настоящему Закону;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0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приложение 6 изложить в редакции согласно приложению 6</w:t>
        <w:br w:type="textWrapping" w:clear="all"/>
        <w:t xml:space="preserve">к настоящему Закону;</w:t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приложение</w:t>
      </w:r>
      <w:r>
        <w:rPr>
          <w:rFonts w:ascii="Times New Roman" w:hAnsi="Times New Roman"/>
          <w:sz w:val="28"/>
          <w:szCs w:val="28"/>
        </w:rPr>
        <w:t xml:space="preserve"> 9 </w:t>
      </w:r>
      <w:r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</w:t>
        <w:br w:type="textWrapping" w:clear="all"/>
        <w:t xml:space="preserve">к настоящему Закону.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Статья 2 </w:t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48"/>
        <w:ind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665"/>
        <w:numPr>
          <w:ilvl w:val="0"/>
          <w:numId w:val="0"/>
        </w:numPr>
        <w:ind w:firstLine="709"/>
        <w:tabs>
          <w:tab w:val="left" w:pos="-142" w:leader="none"/>
        </w:tabs>
        <w:rPr>
          <w:rFonts w:eastAsia="Calibri"/>
        </w:rPr>
      </w:pPr>
      <w:r>
        <w:rPr>
          <w:rFonts w:eastAsia="Calibri"/>
        </w:rPr>
        <w:t xml:space="preserve">Настоящий Закон вступает в силу на следующий день после дня </w:t>
        <w:br w:type="textWrapping" w:clear="all"/>
        <w:t xml:space="preserve">его официального опубликования.</w:t>
      </w:r>
      <w:r>
        <w:rPr>
          <w:rFonts w:eastAsia="Calibri"/>
        </w:rPr>
      </w:r>
    </w:p>
    <w:p>
      <w:pPr>
        <w:pStyle w:val="648"/>
        <w:jc w:val="both"/>
        <w:keepNext/>
        <w:spacing w:after="0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jc w:val="both"/>
        <w:keepNext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>
        <w:rPr>
          <w:rFonts w:ascii="Times New Roman" w:hAnsi="Times New Roman" w:eastAsia="Times New Roman"/>
          <w:sz w:val="28"/>
          <w:szCs w:val="28"/>
          <w:lang w:eastAsia="ru-RU"/>
        </w:rPr>
      </w:r>
    </w:p>
    <w:p>
      <w:pPr>
        <w:pStyle w:val="648"/>
        <w:jc w:val="both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Губернатор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648"/>
        <w:jc w:val="both"/>
        <w:keepNext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  <w:outlineLvl w:val="3"/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Московской области </w:t>
        <w:tab/>
        <w:tab/>
        <w:tab/>
        <w:tab/>
        <w:tab/>
        <w:tab/>
        <w:tab/>
        <w:t xml:space="preserve">     А.Ю. Воробьев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6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 \* MERGEFORMAT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  <w:p>
    <w:pPr>
      <w:pStyle w:val="6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pStyle w:val="665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ascii="Times New Roman" w:hAnsi="Times New Roman" w:cs="Times New Roman"/>
        <w:b w:val="0"/>
        <w:i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  <w:rPr>
        <w:rFonts w:ascii="Times New Roman" w:hAnsi="Times New Roman"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  <w:rPr>
        <w:rFonts w:ascii="Times New Roman" w:hAnsi="Times New Roman"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  <w:rPr>
        <w:rFonts w:ascii="Times New Roman" w:hAnsi="Times New Roman"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  <w:rPr>
        <w:rFonts w:ascii="Times New Roman" w:hAnsi="Times New Roman"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  <w:rPr>
        <w:rFonts w:ascii="Times New Roman" w:hAnsi="Times New Roman"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  <w:rPr>
        <w:rFonts w:ascii="Times New Roman" w:hAnsi="Times New Roman"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  <w:rPr>
        <w:rFonts w:ascii="Times New Roman" w:hAnsi="Times New Roman"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  <w:rPr>
        <w:rFonts w:ascii="Times New Roman" w:hAnsi="Times New Roman"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decimal"/>
      <w:isLgl w:val="false"/>
      <w:suff w:val="tab"/>
      <w:lvlText w:val="%1)"/>
      <w:lvlJc w:val="left"/>
      <w:pPr>
        <w:ind w:left="1069" w:hanging="360"/>
      </w:pPr>
      <w:rPr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48"/>
    <w:next w:val="64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48"/>
    <w:next w:val="64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48"/>
    <w:next w:val="64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48"/>
    <w:next w:val="64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8"/>
    <w:next w:val="64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8"/>
    <w:next w:val="64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8"/>
    <w:next w:val="64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8"/>
    <w:next w:val="64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8"/>
    <w:next w:val="64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4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48"/>
    <w:next w:val="64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48"/>
    <w:next w:val="64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48"/>
    <w:next w:val="64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8"/>
    <w:next w:val="64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4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48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48"/>
    <w:next w:val="648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4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4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48"/>
    <w:next w:val="64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8"/>
    <w:next w:val="64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8"/>
    <w:next w:val="64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8"/>
    <w:next w:val="64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8"/>
    <w:next w:val="64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8"/>
    <w:next w:val="64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8"/>
    <w:next w:val="64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8"/>
    <w:next w:val="64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8"/>
    <w:next w:val="64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8"/>
    <w:next w:val="648"/>
    <w:uiPriority w:val="99"/>
    <w:unhideWhenUsed/>
    <w:pPr>
      <w:spacing w:after="0" w:afterAutospacing="0"/>
    </w:pPr>
  </w:style>
  <w:style w:type="paragraph" w:styleId="648" w:default="1">
    <w:name w:val="Normal"/>
    <w:next w:val="648"/>
    <w:link w:val="64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649">
    <w:name w:val="Заголовок 1"/>
    <w:basedOn w:val="648"/>
    <w:next w:val="648"/>
    <w:link w:val="660"/>
    <w:qFormat/>
    <w:pPr>
      <w:ind w:left="7740"/>
      <w:jc w:val="right"/>
      <w:keepNext/>
      <w:spacing w:after="0" w:line="240" w:lineRule="auto"/>
      <w:widowControl w:val="off"/>
      <w:outlineLvl w:val="0"/>
    </w:pPr>
    <w:rPr>
      <w:rFonts w:ascii="Times New Roman" w:hAnsi="Times New Roman" w:eastAsia="Times New Roman"/>
      <w:sz w:val="24"/>
      <w:szCs w:val="24"/>
      <w:lang w:val="en-US" w:eastAsia="en-US"/>
    </w:rPr>
  </w:style>
  <w:style w:type="character" w:styleId="650">
    <w:name w:val="Основной шрифт абзаца"/>
    <w:next w:val="650"/>
    <w:link w:val="648"/>
    <w:uiPriority w:val="1"/>
    <w:semiHidden/>
    <w:unhideWhenUsed/>
  </w:style>
  <w:style w:type="table" w:styleId="651">
    <w:name w:val="Обычная таблица"/>
    <w:next w:val="651"/>
    <w:link w:val="648"/>
    <w:uiPriority w:val="99"/>
    <w:semiHidden/>
    <w:unhideWhenUsed/>
    <w:tblPr/>
  </w:style>
  <w:style w:type="numbering" w:styleId="652">
    <w:name w:val="Нет списка"/>
    <w:next w:val="652"/>
    <w:link w:val="648"/>
    <w:uiPriority w:val="99"/>
    <w:semiHidden/>
    <w:unhideWhenUsed/>
  </w:style>
  <w:style w:type="paragraph" w:styleId="653">
    <w:name w:val="Абзац списка"/>
    <w:basedOn w:val="648"/>
    <w:next w:val="653"/>
    <w:link w:val="648"/>
    <w:uiPriority w:val="34"/>
    <w:qFormat/>
    <w:pPr>
      <w:contextualSpacing/>
      <w:ind w:left="720"/>
    </w:pPr>
  </w:style>
  <w:style w:type="paragraph" w:styleId="654">
    <w:name w:val="Текст выноски"/>
    <w:basedOn w:val="648"/>
    <w:next w:val="654"/>
    <w:link w:val="65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 w:eastAsia="en-US"/>
    </w:rPr>
  </w:style>
  <w:style w:type="character" w:styleId="655">
    <w:name w:val="Текст выноски Знак"/>
    <w:next w:val="655"/>
    <w:link w:val="654"/>
    <w:uiPriority w:val="99"/>
    <w:semiHidden/>
    <w:rPr>
      <w:rFonts w:ascii="Tahoma" w:hAnsi="Tahoma" w:eastAsia="Calibri" w:cs="Tahoma"/>
      <w:sz w:val="16"/>
      <w:szCs w:val="16"/>
    </w:rPr>
  </w:style>
  <w:style w:type="paragraph" w:styleId="656">
    <w:name w:val="Верхний колонтитул"/>
    <w:basedOn w:val="648"/>
    <w:next w:val="656"/>
    <w:link w:val="65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657">
    <w:name w:val="Верхний колонтитул Знак"/>
    <w:next w:val="657"/>
    <w:link w:val="656"/>
    <w:uiPriority w:val="99"/>
    <w:rPr>
      <w:rFonts w:ascii="Calibri" w:hAnsi="Calibri" w:eastAsia="Calibri" w:cs="Times New Roman"/>
    </w:rPr>
  </w:style>
  <w:style w:type="paragraph" w:styleId="658">
    <w:name w:val="Нижний колонтитул"/>
    <w:basedOn w:val="648"/>
    <w:next w:val="658"/>
    <w:link w:val="6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  <w:lang w:val="en-US" w:eastAsia="en-US"/>
    </w:rPr>
  </w:style>
  <w:style w:type="character" w:styleId="659">
    <w:name w:val="Нижний колонтитул Знак"/>
    <w:next w:val="659"/>
    <w:link w:val="658"/>
    <w:uiPriority w:val="99"/>
    <w:rPr>
      <w:rFonts w:ascii="Calibri" w:hAnsi="Calibri" w:eastAsia="Calibri" w:cs="Times New Roman"/>
    </w:rPr>
  </w:style>
  <w:style w:type="character" w:styleId="660">
    <w:name w:val="Заголовок 1 Знак"/>
    <w:next w:val="660"/>
    <w:link w:val="649"/>
    <w:rPr>
      <w:rFonts w:ascii="Times New Roman" w:hAnsi="Times New Roman" w:eastAsia="Times New Roman"/>
      <w:sz w:val="24"/>
      <w:szCs w:val="24"/>
    </w:rPr>
  </w:style>
  <w:style w:type="paragraph" w:styleId="661">
    <w:name w:val="загол"/>
    <w:basedOn w:val="648"/>
    <w:next w:val="648"/>
    <w:link w:val="648"/>
    <w:pPr>
      <w:jc w:val="center"/>
      <w:keepNext/>
      <w:spacing w:after="0" w:line="240" w:lineRule="auto"/>
      <w:widowControl w:val="off"/>
    </w:pPr>
    <w:rPr>
      <w:rFonts w:ascii="Times New Roman" w:hAnsi="Times New Roman" w:eastAsia="Times New Roman"/>
      <w:b/>
      <w:bCs/>
      <w:caps/>
      <w:sz w:val="24"/>
      <w:szCs w:val="24"/>
      <w:lang w:eastAsia="ru-RU"/>
    </w:rPr>
  </w:style>
  <w:style w:type="paragraph" w:styleId="662">
    <w:name w:val="Без интервала"/>
    <w:next w:val="662"/>
    <w:link w:val="648"/>
    <w:uiPriority w:val="1"/>
    <w:qFormat/>
    <w:rPr>
      <w:sz w:val="22"/>
      <w:szCs w:val="22"/>
      <w:lang w:val="ru-RU" w:eastAsia="en-US" w:bidi="ar-SA"/>
    </w:rPr>
  </w:style>
  <w:style w:type="paragraph" w:styleId="663">
    <w:name w:val="ConsPlusNormal"/>
    <w:next w:val="663"/>
    <w:link w:val="648"/>
    <w:rPr>
      <w:rFonts w:ascii="Times New Roman" w:hAnsi="Times New Roman" w:eastAsia="Times New Roman"/>
      <w:sz w:val="28"/>
      <w:szCs w:val="28"/>
      <w:lang w:val="ru-RU" w:eastAsia="ru-RU" w:bidi="ar-SA"/>
    </w:rPr>
  </w:style>
  <w:style w:type="paragraph" w:styleId="664">
    <w:name w:val="Рецензия"/>
    <w:next w:val="664"/>
    <w:link w:val="648"/>
    <w:hidden/>
    <w:uiPriority w:val="99"/>
    <w:semiHidden/>
    <w:rPr>
      <w:sz w:val="22"/>
      <w:szCs w:val="22"/>
      <w:lang w:val="ru-RU" w:eastAsia="en-US" w:bidi="ar-SA"/>
    </w:rPr>
  </w:style>
  <w:style w:type="paragraph" w:styleId="665">
    <w:name w:val="Нумерованный список"/>
    <w:basedOn w:val="648"/>
    <w:next w:val="665"/>
    <w:link w:val="648"/>
    <w:uiPriority w:val="99"/>
    <w:semiHidden/>
    <w:unhideWhenUsed/>
    <w:pPr>
      <w:numPr>
        <w:ilvl w:val="0"/>
        <w:numId w:val="7"/>
      </w:numPr>
      <w:jc w:val="both"/>
      <w:spacing w:after="0" w:line="240" w:lineRule="auto"/>
      <w:tabs>
        <w:tab w:val="left" w:pos="1134" w:leader="none"/>
      </w:tabs>
    </w:pPr>
    <w:rPr>
      <w:rFonts w:ascii="Times New Roman" w:hAnsi="Times New Roman" w:eastAsia="Times New Roman"/>
      <w:sz w:val="28"/>
      <w:szCs w:val="28"/>
      <w:lang w:eastAsia="ru-RU"/>
    </w:rPr>
  </w:style>
  <w:style w:type="character" w:styleId="666">
    <w:name w:val="Гиперссылка"/>
    <w:next w:val="666"/>
    <w:link w:val="648"/>
    <w:uiPriority w:val="99"/>
    <w:semiHidden/>
    <w:unhideWhenUsed/>
    <w:rPr>
      <w:color w:val="0563c1"/>
      <w:u w:val="single"/>
    </w:rPr>
  </w:style>
  <w:style w:type="paragraph" w:styleId="667">
    <w:name w:val="ConsPlusTitle"/>
    <w:next w:val="667"/>
    <w:link w:val="648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character" w:styleId="1039" w:default="1">
    <w:name w:val="Default Paragraph Font"/>
    <w:uiPriority w:val="1"/>
    <w:semiHidden/>
    <w:unhideWhenUsed/>
  </w:style>
  <w:style w:type="numbering" w:styleId="1040" w:default="1">
    <w:name w:val="No List"/>
    <w:uiPriority w:val="99"/>
    <w:semiHidden/>
    <w:unhideWhenUsed/>
  </w:style>
  <w:style w:type="table" w:styleId="10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Дудакова Наталья Федоровна</dc:creator>
  <cp:lastModifiedBy>kazanenko_iv</cp:lastModifiedBy>
  <cp:revision>358</cp:revision>
  <dcterms:created xsi:type="dcterms:W3CDTF">2019-04-05T11:07:00Z</dcterms:created>
  <dcterms:modified xsi:type="dcterms:W3CDTF">2025-05-20T06:57:49Z</dcterms:modified>
  <cp:version>1048576</cp:version>
</cp:coreProperties>
</file>